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A4" w:rsidRDefault="00BF3F34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EC4D502" wp14:editId="102CABFC">
            <wp:simplePos x="0" y="0"/>
            <wp:positionH relativeFrom="column">
              <wp:posOffset>-264160</wp:posOffset>
            </wp:positionH>
            <wp:positionV relativeFrom="paragraph">
              <wp:posOffset>-539750</wp:posOffset>
            </wp:positionV>
            <wp:extent cx="419100" cy="415925"/>
            <wp:effectExtent l="0" t="0" r="0" b="3175"/>
            <wp:wrapNone/>
            <wp:docPr id="448" name="Picture 448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CCE9893" wp14:editId="3CBFF174">
            <wp:simplePos x="0" y="0"/>
            <wp:positionH relativeFrom="column">
              <wp:posOffset>6260465</wp:posOffset>
            </wp:positionH>
            <wp:positionV relativeFrom="paragraph">
              <wp:posOffset>-536575</wp:posOffset>
            </wp:positionV>
            <wp:extent cx="419100" cy="415925"/>
            <wp:effectExtent l="0" t="0" r="0" b="3175"/>
            <wp:wrapNone/>
            <wp:docPr id="3" name="Picture 3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A9ED5DE" wp14:editId="2A7F809D">
            <wp:simplePos x="0" y="0"/>
            <wp:positionH relativeFrom="column">
              <wp:posOffset>9289415</wp:posOffset>
            </wp:positionH>
            <wp:positionV relativeFrom="paragraph">
              <wp:posOffset>-82550</wp:posOffset>
            </wp:positionV>
            <wp:extent cx="419100" cy="415925"/>
            <wp:effectExtent l="0" t="0" r="0" b="3175"/>
            <wp:wrapNone/>
            <wp:docPr id="1" name="Picture 1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875CE24" wp14:editId="5A722361">
            <wp:simplePos x="0" y="0"/>
            <wp:positionH relativeFrom="column">
              <wp:posOffset>9137015</wp:posOffset>
            </wp:positionH>
            <wp:positionV relativeFrom="paragraph">
              <wp:posOffset>-234950</wp:posOffset>
            </wp:positionV>
            <wp:extent cx="419100" cy="415925"/>
            <wp:effectExtent l="0" t="0" r="0" b="3175"/>
            <wp:wrapNone/>
            <wp:docPr id="449" name="Picture 449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41415" wp14:editId="68434D48">
                <wp:simplePos x="0" y="0"/>
                <wp:positionH relativeFrom="column">
                  <wp:posOffset>40640</wp:posOffset>
                </wp:positionH>
                <wp:positionV relativeFrom="paragraph">
                  <wp:posOffset>-168910</wp:posOffset>
                </wp:positionV>
                <wp:extent cx="6276975" cy="409575"/>
                <wp:effectExtent l="0" t="0" r="28575" b="28575"/>
                <wp:wrapTight wrapText="bothSides">
                  <wp:wrapPolygon edited="0">
                    <wp:start x="0" y="0"/>
                    <wp:lineTo x="0" y="22102"/>
                    <wp:lineTo x="21633" y="22102"/>
                    <wp:lineTo x="2163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095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F34" w:rsidRPr="00BC56CE" w:rsidRDefault="00BF3F34" w:rsidP="00BF3F34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44"/>
                              </w:rPr>
                            </w:pPr>
                            <w:r w:rsidRPr="00BF3F34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 xml:space="preserve">Mill Hill’s Calculation </w:t>
                            </w:r>
                            <w:proofErr w:type="gramStart"/>
                            <w:r w:rsidRPr="00BF3F34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>Overview  –</w:t>
                            </w:r>
                            <w:proofErr w:type="gramEnd"/>
                            <w:r w:rsidRPr="00BF3F34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 xml:space="preserve"> using OPN / CPA</w:t>
                            </w:r>
                            <w:r w:rsidRPr="00BC56CE">
                              <w:rPr>
                                <w:rFonts w:ascii="Berlin Sans FB" w:hAnsi="Berlin Sans FB"/>
                                <w:sz w:val="44"/>
                                <w:szCs w:val="44"/>
                              </w:rPr>
                              <w:t xml:space="preserve"> Approach</w:t>
                            </w:r>
                          </w:p>
                          <w:p w:rsidR="00BF3F34" w:rsidRPr="00BC56CE" w:rsidRDefault="00BF3F34" w:rsidP="00BF3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-13.3pt;width:494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" fillcolor="blue">
                <v:textbox>
                  <w:txbxContent>
                    <w:p w:rsidR="00BF3F34" w:rsidRPr="00BC56CE" w:rsidRDefault="00BF3F34" w:rsidP="00BF3F34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44"/>
                        </w:rPr>
                      </w:pPr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Mill Hill’s </w:t>
                      </w:r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Calculation </w:t>
                      </w:r>
                      <w:proofErr w:type="gramStart"/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>Overview  –</w:t>
                      </w:r>
                      <w:proofErr w:type="gramEnd"/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 using OPN /</w:t>
                      </w:r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 CPA</w:t>
                      </w:r>
                      <w:r w:rsidRPr="00BC56CE">
                        <w:rPr>
                          <w:rFonts w:ascii="Berlin Sans FB" w:hAnsi="Berlin Sans FB"/>
                          <w:sz w:val="44"/>
                          <w:szCs w:val="44"/>
                        </w:rPr>
                        <w:t xml:space="preserve"> Approach</w:t>
                      </w:r>
                    </w:p>
                    <w:p w:rsidR="00BF3F34" w:rsidRPr="00BC56CE" w:rsidRDefault="00BF3F34" w:rsidP="00BF3F34"/>
                  </w:txbxContent>
                </v:textbox>
                <w10:wrap type="tight"/>
              </v:shape>
            </w:pict>
          </mc:Fallback>
        </mc:AlternateContent>
      </w:r>
    </w:p>
    <w:p w:rsidR="00C431A4" w:rsidRPr="00BF3F34" w:rsidRDefault="00C431A4" w:rsidP="00BF3F34">
      <w:pPr>
        <w:shd w:val="clear" w:color="auto" w:fill="0000FF"/>
        <w:spacing w:line="360" w:lineRule="auto"/>
        <w:rPr>
          <w:rFonts w:ascii="Myriad Pro" w:hAnsi="Myriad Pro"/>
          <w:b/>
          <w:color w:val="FFFFFF" w:themeColor="background1"/>
          <w:sz w:val="24"/>
          <w:szCs w:val="24"/>
          <w:u w:val="single"/>
        </w:rPr>
      </w:pPr>
      <w:r w:rsidRPr="00BF3F34">
        <w:rPr>
          <w:rFonts w:ascii="Myriad Pro" w:hAnsi="Myriad Pro"/>
          <w:b/>
          <w:color w:val="FFFFFF" w:themeColor="background1"/>
          <w:sz w:val="24"/>
          <w:szCs w:val="24"/>
          <w:u w:val="single"/>
        </w:rPr>
        <w:t>Principles of the Policy</w:t>
      </w:r>
    </w:p>
    <w:p w:rsidR="00C431A4" w:rsidRPr="00C431A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One of the key learning principles behind 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policy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is the concr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ete pictorial abstract approach (CPA).</w:t>
      </w:r>
      <w:r w:rsidR="00C431A4"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concrete-pictorial-abstract approach, 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is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based on research by psychologist Jerome Bruner,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suggests that there are three steps (or representations) necessary for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develop understanding of a concept. </w:t>
      </w:r>
    </w:p>
    <w:p w:rsidR="00C431A4" w:rsidRPr="00C431A4" w:rsidRDefault="00C431A4" w:rsidP="00C431A4">
      <w:pPr>
        <w:spacing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For children to have a deep understanding of the mathematical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concepts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being developed, they need to ‘master’ all three phases of the CPA approach.  </w:t>
      </w:r>
      <w:r>
        <w:rPr>
          <w:rFonts w:ascii="Myriad Pro" w:hAnsi="Myriad Pro"/>
          <w:sz w:val="24"/>
          <w:szCs w:val="24"/>
        </w:rPr>
        <w:t>I</w:t>
      </w:r>
      <w:r w:rsidRPr="00C431A4">
        <w:rPr>
          <w:rFonts w:ascii="Myriad Pro" w:hAnsi="Myriad Pro"/>
          <w:sz w:val="24"/>
          <w:szCs w:val="24"/>
        </w:rPr>
        <w:t xml:space="preserve">f a child has moved on from the concrete to the pictorial, it does not mean that the concrete cannot </w:t>
      </w:r>
      <w:r>
        <w:rPr>
          <w:rFonts w:ascii="Myriad Pro" w:hAnsi="Myriad Pro"/>
          <w:sz w:val="24"/>
          <w:szCs w:val="24"/>
        </w:rPr>
        <w:t xml:space="preserve">be used alongside the pictorial as an additional scaffold.  If a child is working at </w:t>
      </w:r>
      <w:r w:rsidRPr="00C431A4">
        <w:rPr>
          <w:rFonts w:ascii="Myriad Pro" w:hAnsi="Myriad Pro"/>
          <w:sz w:val="24"/>
          <w:szCs w:val="24"/>
        </w:rPr>
        <w:t>the abstract</w:t>
      </w:r>
      <w:r>
        <w:rPr>
          <w:rFonts w:ascii="Myriad Pro" w:hAnsi="Myriad Pro"/>
          <w:sz w:val="24"/>
          <w:szCs w:val="24"/>
        </w:rPr>
        <w:t xml:space="preserve"> stage</w:t>
      </w:r>
      <w:r w:rsidRPr="00C431A4">
        <w:rPr>
          <w:rFonts w:ascii="Myriad Pro" w:hAnsi="Myriad Pro"/>
          <w:sz w:val="24"/>
          <w:szCs w:val="24"/>
        </w:rPr>
        <w:t xml:space="preserve">, ‘proving’ something or ‘working out’ </w:t>
      </w:r>
      <w:r>
        <w:rPr>
          <w:rFonts w:ascii="Myriad Pro" w:hAnsi="Myriad Pro"/>
          <w:sz w:val="24"/>
          <w:szCs w:val="24"/>
        </w:rPr>
        <w:t xml:space="preserve">then concrete or pictorial representations could be </w:t>
      </w:r>
      <w:r w:rsidR="00A0286D">
        <w:rPr>
          <w:rFonts w:ascii="Myriad Pro" w:hAnsi="Myriad Pro"/>
          <w:sz w:val="24"/>
          <w:szCs w:val="24"/>
        </w:rPr>
        <w:t>used to develop a greater depth as p</w:t>
      </w:r>
      <w:r>
        <w:rPr>
          <w:rFonts w:ascii="Myriad Pro" w:hAnsi="Myriad Pro"/>
          <w:sz w:val="24"/>
          <w:szCs w:val="24"/>
        </w:rPr>
        <w:t xml:space="preserve">upils articulate their thinking /reasoning.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Reinforcement is achieved by going back and forth between these representations.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Linking abstract notation to pictorial/concrete representations and then the concrete/pictorial models to an abstract notation.</w:t>
      </w:r>
    </w:p>
    <w:p w:rsidR="00A0286D" w:rsidRPr="00BF3F34" w:rsidRDefault="00A0286D" w:rsidP="00C431A4">
      <w:pPr>
        <w:shd w:val="clear" w:color="auto" w:fill="FFFFFF"/>
        <w:spacing w:after="96" w:line="360" w:lineRule="auto"/>
        <w:outlineLvl w:val="2"/>
        <w:rPr>
          <w:rFonts w:ascii="Myriad Pro" w:eastAsia="Times New Roman" w:hAnsi="Myriad Pro" w:cs="Arial"/>
          <w:b/>
          <w:color w:val="000000" w:themeColor="text1"/>
          <w:sz w:val="24"/>
          <w:szCs w:val="24"/>
          <w:u w:val="single"/>
          <w:lang w:eastAsia="en-GB"/>
        </w:rPr>
      </w:pPr>
    </w:p>
    <w:p w:rsidR="00245F2F" w:rsidRPr="00BF3F34" w:rsidRDefault="00245F2F" w:rsidP="00BF3F34">
      <w:pPr>
        <w:shd w:val="clear" w:color="auto" w:fill="0000FF"/>
        <w:spacing w:after="96" w:line="360" w:lineRule="auto"/>
        <w:outlineLvl w:val="2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Concrete Representation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enactive stage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.  Children are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f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irst introduced to an idea/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skill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/concept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by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acting it out with real objects, this could include large scale with the pupils themselves and also utilise resourced available in the outdoor environment.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is a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'hands on'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stage u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sing real objects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linked to real-life and the wider curriculum and/or mathemat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ical equipment, (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i.e.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counters, c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ubes, bead string, five and ten frames, Dienes, place value counters etc.)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it is the foundation for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CONCEPTUAL UNDERSTANDING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</w:p>
    <w:p w:rsidR="00C431A4" w:rsidRDefault="00C431A4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</w:pPr>
    </w:p>
    <w:p w:rsidR="00245F2F" w:rsidRPr="00BF3F34" w:rsidRDefault="00245F2F" w:rsidP="00BF3F34">
      <w:pPr>
        <w:shd w:val="clear" w:color="auto" w:fill="0000FF"/>
        <w:spacing w:after="150" w:line="360" w:lineRule="auto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Pictorial Representation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 xml:space="preserve">iconic </w:t>
      </w:r>
      <w:r w:rsidR="00A0286D"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stage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A child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has sufficiently understood the hand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s-on,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experiences performed and can now relate them to 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representations, such as a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DIAGRAM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or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PICTURE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of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problem.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representations, such as the bar </w:t>
      </w:r>
      <w:proofErr w:type="gramStart"/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model,</w:t>
      </w:r>
      <w:proofErr w:type="gramEnd"/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can also be used to 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understanding.</w:t>
      </w:r>
    </w:p>
    <w:p w:rsidR="00A0286D" w:rsidRDefault="00A0286D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A0286D" w:rsidRDefault="00A0286D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BF3F34" w:rsidRDefault="00BF3F34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Pr="00BF3F34" w:rsidRDefault="00A0286D" w:rsidP="00BF3F34">
      <w:pPr>
        <w:shd w:val="clear" w:color="auto" w:fill="0000FF"/>
        <w:spacing w:after="96" w:line="360" w:lineRule="auto"/>
        <w:outlineLvl w:val="2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lastRenderedPageBreak/>
        <w:t>A</w:t>
      </w:r>
      <w:r w:rsidR="00245F2F"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bstract Representation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symbolic stage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.  A child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is now capable of representing problems by using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mathematical no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tation, for example: 12 ÷ 2 = 6.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is the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ultimate mode.</w:t>
      </w:r>
    </w:p>
    <w:p w:rsidR="00A0286D" w:rsidRDefault="00A0286D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Teachers should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understand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how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each stage of the CPA approach can be used effectively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MOD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EL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concepts, 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learning and 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 xml:space="preserve">RECORD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thinking:</w:t>
      </w:r>
    </w:p>
    <w:p w:rsidR="00C431A4" w:rsidRDefault="00C431A4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MODELLING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teacher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make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clear 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inks are made between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pre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sentations (which can also be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represented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pictorially),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(diagrams and pictures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 including bar modelling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)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notations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SCAFFOLDS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children to be offered the opportunity to use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appropriate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further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their understanding.  The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offered, must be fami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liar and understood by children.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 Children should be encouraged to consider whether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ffold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are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required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and for how long they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require them for.  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representations are also supportive when developing children’s depth of knowledge through problem solving and reasoning experiences.</w:t>
      </w:r>
    </w:p>
    <w:p w:rsidR="00245F2F" w:rsidRPr="00BF3F3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FFFFFF" w:themeColor="background1"/>
          <w:sz w:val="24"/>
          <w:szCs w:val="24"/>
          <w:lang w:eastAsia="en-GB"/>
        </w:rPr>
      </w:pPr>
    </w:p>
    <w:p w:rsidR="00BF3F34" w:rsidRPr="00BF3F34" w:rsidRDefault="00A0286D" w:rsidP="00BF3F34">
      <w:pPr>
        <w:shd w:val="clear" w:color="auto" w:fill="0000FF"/>
        <w:spacing w:after="150" w:line="360" w:lineRule="auto"/>
        <w:rPr>
          <w:rFonts w:ascii="Myriad Pro" w:eastAsia="Times New Roman" w:hAnsi="Myriad Pro" w:cs="Arial"/>
          <w:b/>
          <w:color w:val="FFFFFF" w:themeColor="background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FFFFFF" w:themeColor="background1"/>
          <w:sz w:val="24"/>
          <w:szCs w:val="24"/>
          <w:u w:val="single"/>
          <w:lang w:eastAsia="en-GB"/>
        </w:rPr>
        <w:t>RECORDING</w:t>
      </w: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:</w:t>
      </w:r>
      <w:r w:rsidR="00BF3F34"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lang w:eastAsia="en-GB"/>
        </w:rPr>
        <w:t xml:space="preserve">  </w:t>
      </w:r>
    </w:p>
    <w:p w:rsidR="00245F2F" w:rsidRPr="00BF3F3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b/>
          <w:color w:val="000000" w:themeColor="text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shd w:val="clear" w:color="auto" w:fill="0000FF"/>
          <w:lang w:eastAsia="en-GB"/>
        </w:rPr>
        <w:t>CONCRETE RECORDING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when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are unable to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record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their thinking using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 or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notation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then their learning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can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be evidenced through photographic evidence and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post-it notes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which detail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key information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regarding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children’s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strengths and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areas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of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developments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/gaps/misconceptions.  </w:t>
      </w:r>
    </w:p>
    <w:p w:rsidR="00245F2F" w:rsidRDefault="00245F2F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245F2F" w:rsidRDefault="00245F2F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 w:rsidRPr="00BF3F34">
        <w:rPr>
          <w:rFonts w:ascii="Myriad Pro" w:hAnsi="Myriad Pro"/>
          <w:b/>
          <w:i/>
          <w:color w:val="000000" w:themeColor="text1"/>
          <w:sz w:val="24"/>
          <w:szCs w:val="24"/>
          <w:shd w:val="clear" w:color="auto" w:fill="0000FF"/>
        </w:rPr>
        <w:t>PICTORIAL RECORDING</w:t>
      </w:r>
      <w:r w:rsidRPr="00BF3F34">
        <w:rPr>
          <w:rFonts w:ascii="Myriad Pro" w:hAnsi="Myriad Pro"/>
          <w:color w:val="000000" w:themeColor="text1"/>
          <w:sz w:val="24"/>
          <w:szCs w:val="24"/>
          <w:shd w:val="clear" w:color="auto" w:fill="0000FF"/>
        </w:rPr>
        <w:t>: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 children to be encouraged to represent their thinking using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PICTORIAL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</w:t>
      </w:r>
      <w:r w:rsidR="001B18E0">
        <w:rPr>
          <w:rFonts w:ascii="Myriad Pro" w:hAnsi="Myriad Pro"/>
          <w:color w:val="000000" w:themeColor="text1"/>
          <w:sz w:val="24"/>
          <w:szCs w:val="24"/>
        </w:rPr>
        <w:t>representations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, if they are unable to record using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ABSTRACT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notation. </w:t>
      </w:r>
      <w:r w:rsidR="001B18E0">
        <w:rPr>
          <w:rFonts w:ascii="Myriad Pro" w:hAnsi="Myriad Pro"/>
          <w:color w:val="000000" w:themeColor="text1"/>
          <w:sz w:val="24"/>
          <w:szCs w:val="24"/>
        </w:rPr>
        <w:t xml:space="preserve">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PICTORIAL</w:t>
      </w:r>
      <w:r w:rsidR="001B18E0">
        <w:rPr>
          <w:rFonts w:ascii="Myriad Pro" w:hAnsi="Myriad Pro"/>
          <w:color w:val="000000" w:themeColor="text1"/>
          <w:sz w:val="24"/>
          <w:szCs w:val="24"/>
        </w:rPr>
        <w:t xml:space="preserve"> representation also in</w:t>
      </w:r>
      <w:r w:rsidR="00A0286D">
        <w:rPr>
          <w:rFonts w:ascii="Myriad Pro" w:hAnsi="Myriad Pro"/>
          <w:color w:val="000000" w:themeColor="text1"/>
          <w:sz w:val="24"/>
          <w:szCs w:val="24"/>
        </w:rPr>
        <w:t>cludes the use of the bar model.</w:t>
      </w:r>
    </w:p>
    <w:p w:rsidR="001B18E0" w:rsidRDefault="001B18E0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1B18E0" w:rsidRPr="00245F2F" w:rsidRDefault="001B18E0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 w:rsidRPr="00BF3F34">
        <w:rPr>
          <w:rFonts w:ascii="Myriad Pro" w:hAnsi="Myriad Pro"/>
          <w:b/>
          <w:i/>
          <w:color w:val="000000" w:themeColor="text1"/>
          <w:sz w:val="24"/>
          <w:szCs w:val="24"/>
          <w:shd w:val="clear" w:color="auto" w:fill="0000FF"/>
        </w:rPr>
        <w:t>ABSTRACT RECORDING</w:t>
      </w:r>
      <w:r w:rsidRPr="00BF3F34">
        <w:rPr>
          <w:rFonts w:ascii="Myriad Pro" w:hAnsi="Myriad Pro"/>
          <w:color w:val="000000" w:themeColor="text1"/>
          <w:sz w:val="24"/>
          <w:szCs w:val="24"/>
          <w:shd w:val="clear" w:color="auto" w:fill="0000FF"/>
        </w:rPr>
        <w:t>: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 this is the ultimate mode but should not be rushed at the expense of true </w:t>
      </w:r>
      <w:r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CONCEPTUAL UNDERSTANDING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.  </w:t>
      </w:r>
      <w:r w:rsidR="00A0286D">
        <w:rPr>
          <w:rFonts w:ascii="Myriad Pro" w:hAnsi="Myriad Pro"/>
          <w:color w:val="000000" w:themeColor="text1"/>
          <w:sz w:val="24"/>
          <w:szCs w:val="24"/>
        </w:rPr>
        <w:t xml:space="preserve">Scaffolds, such as missing box calculations, can support children’s transition towards </w:t>
      </w:r>
      <w:r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ABSTRACT</w:t>
      </w:r>
      <w:r w:rsidR="00A0286D">
        <w:rPr>
          <w:rFonts w:ascii="Myriad Pro" w:hAnsi="Myriad Pro"/>
          <w:color w:val="000000" w:themeColor="text1"/>
          <w:sz w:val="24"/>
          <w:szCs w:val="24"/>
        </w:rPr>
        <w:t>.</w:t>
      </w:r>
      <w:r w:rsidR="00A82E5B">
        <w:rPr>
          <w:rFonts w:ascii="Myriad Pro" w:hAnsi="Myriad Pro"/>
          <w:color w:val="000000" w:themeColor="text1"/>
          <w:sz w:val="24"/>
          <w:szCs w:val="24"/>
        </w:rPr>
        <w:t xml:space="preserve">                                                                                                         DO/Sept 2016</w:t>
      </w:r>
      <w:bookmarkStart w:id="0" w:name="_GoBack"/>
      <w:bookmarkEnd w:id="0"/>
    </w:p>
    <w:sectPr w:rsidR="001B18E0" w:rsidRPr="00245F2F" w:rsidSect="00A028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2F"/>
    <w:rsid w:val="001B18E0"/>
    <w:rsid w:val="00245F2F"/>
    <w:rsid w:val="008552F1"/>
    <w:rsid w:val="00A0286D"/>
    <w:rsid w:val="00A82E5B"/>
    <w:rsid w:val="00BF3F34"/>
    <w:rsid w:val="00C431A4"/>
    <w:rsid w:val="00CB2613"/>
    <w:rsid w:val="00D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Hill Primary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Barnes</dc:creator>
  <cp:lastModifiedBy>Teacher PPA Room PC3</cp:lastModifiedBy>
  <cp:revision>3</cp:revision>
  <dcterms:created xsi:type="dcterms:W3CDTF">2016-09-01T13:30:00Z</dcterms:created>
  <dcterms:modified xsi:type="dcterms:W3CDTF">2016-09-01T13:31:00Z</dcterms:modified>
</cp:coreProperties>
</file>